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2AE7" w:rsidRPr="00D30186" w:rsidRDefault="00DF2AE7" w:rsidP="00D30186">
      <w:pPr>
        <w:shd w:val="clear" w:color="auto" w:fill="FFFFFF"/>
        <w:spacing w:after="0" w:line="480" w:lineRule="auto"/>
        <w:rPr>
          <w:rFonts w:ascii="Times New Roman" w:eastAsia="Times New Roman" w:hAnsi="Times New Roman" w:cs="Times New Roman"/>
          <w:b/>
          <w:sz w:val="24"/>
          <w:szCs w:val="24"/>
        </w:rPr>
      </w:pPr>
      <w:r w:rsidRPr="00D30186">
        <w:rPr>
          <w:rFonts w:ascii="Times New Roman" w:eastAsia="Times New Roman" w:hAnsi="Times New Roman" w:cs="Times New Roman"/>
          <w:b/>
          <w:sz w:val="24"/>
          <w:szCs w:val="24"/>
        </w:rPr>
        <w:t>YOU are the manager of a small USA firm that sells nails in a competitive USA market (the nails you seal are a standardized commodity; stores view your nails as identical to those available from hundreds of other firms.  [Aside: who knew there were “hundreds” of USA nail firms out there…?)  YOU are concerned about two events you recently learned about through trade publications: (1) the overall market supply of nails will decrease by 2% due to exit by foreign competitors; and (2) due to a growing USA economy, the overall market demand for nails will increase by 2%.  Based on this information, should you plan to increase or decrease your production of nails?  Explain.</w:t>
      </w:r>
    </w:p>
    <w:p w:rsidR="00D30186" w:rsidRPr="00D30186" w:rsidRDefault="00DF2AE7" w:rsidP="00D30186">
      <w:pPr>
        <w:shd w:val="clear" w:color="auto" w:fill="FFFFFF"/>
        <w:spacing w:after="0" w:line="480" w:lineRule="auto"/>
        <w:ind w:firstLine="720"/>
        <w:rPr>
          <w:rFonts w:ascii="Times New Roman" w:hAnsi="Times New Roman" w:cs="Times New Roman"/>
          <w:sz w:val="24"/>
          <w:szCs w:val="24"/>
        </w:rPr>
      </w:pPr>
      <w:r w:rsidRPr="00D30186">
        <w:rPr>
          <w:rFonts w:ascii="Times New Roman" w:eastAsia="Times New Roman" w:hAnsi="Times New Roman" w:cs="Times New Roman"/>
          <w:sz w:val="24"/>
          <w:szCs w:val="24"/>
        </w:rPr>
        <w:t xml:space="preserve">The best move is increasing the production of the firm. The industry under which the firm operates is highly competitive, but with a decrease in supply due to exiting of foreign competitors, the firm has an increased opportunity for capitalizing on new markets. The same opportunity also presents itself with the growing economy that promotes the demand of the product </w:t>
      </w:r>
      <w:sdt>
        <w:sdtPr>
          <w:rPr>
            <w:rFonts w:ascii="Times New Roman" w:eastAsia="Times New Roman" w:hAnsi="Times New Roman" w:cs="Times New Roman"/>
            <w:sz w:val="24"/>
            <w:szCs w:val="24"/>
          </w:rPr>
          <w:id w:val="3286123"/>
          <w:citation/>
        </w:sdtPr>
        <w:sdtContent>
          <w:r w:rsidRPr="00D30186">
            <w:rPr>
              <w:rFonts w:ascii="Times New Roman" w:eastAsia="Times New Roman" w:hAnsi="Times New Roman" w:cs="Times New Roman"/>
              <w:sz w:val="24"/>
              <w:szCs w:val="24"/>
            </w:rPr>
            <w:fldChar w:fldCharType="begin"/>
          </w:r>
          <w:r w:rsidRPr="00D30186">
            <w:rPr>
              <w:rFonts w:ascii="Times New Roman" w:eastAsia="Times New Roman" w:hAnsi="Times New Roman" w:cs="Times New Roman"/>
              <w:sz w:val="24"/>
              <w:szCs w:val="24"/>
            </w:rPr>
            <w:instrText xml:space="preserve"> CITATION Moc12 \l 1033 </w:instrText>
          </w:r>
          <w:r w:rsidRPr="00D30186">
            <w:rPr>
              <w:rFonts w:ascii="Times New Roman" w:eastAsia="Times New Roman" w:hAnsi="Times New Roman" w:cs="Times New Roman"/>
              <w:sz w:val="24"/>
              <w:szCs w:val="24"/>
            </w:rPr>
            <w:fldChar w:fldCharType="separate"/>
          </w:r>
          <w:r w:rsidRPr="00D30186">
            <w:rPr>
              <w:rFonts w:ascii="Times New Roman" w:eastAsia="Times New Roman" w:hAnsi="Times New Roman" w:cs="Times New Roman"/>
              <w:noProof/>
              <w:sz w:val="24"/>
              <w:szCs w:val="24"/>
            </w:rPr>
            <w:t>(Moczarski, 2012)</w:t>
          </w:r>
          <w:r w:rsidRPr="00D30186">
            <w:rPr>
              <w:rFonts w:ascii="Times New Roman" w:eastAsia="Times New Roman" w:hAnsi="Times New Roman" w:cs="Times New Roman"/>
              <w:sz w:val="24"/>
              <w:szCs w:val="24"/>
            </w:rPr>
            <w:fldChar w:fldCharType="end"/>
          </w:r>
        </w:sdtContent>
      </w:sdt>
      <w:r w:rsidRPr="00D30186">
        <w:rPr>
          <w:rFonts w:ascii="Times New Roman" w:eastAsia="Times New Roman" w:hAnsi="Times New Roman" w:cs="Times New Roman"/>
          <w:sz w:val="24"/>
          <w:szCs w:val="24"/>
        </w:rPr>
        <w:t xml:space="preserve">. Consequentially, all the firms remaining in operation within the industry will experience a surge in demands for their products. The scenario prompts the firms to increase their level of production so that they can match the current </w:t>
      </w:r>
      <w:proofErr w:type="gramStart"/>
      <w:r w:rsidRPr="00D30186">
        <w:rPr>
          <w:rFonts w:ascii="Times New Roman" w:eastAsia="Times New Roman" w:hAnsi="Times New Roman" w:cs="Times New Roman"/>
          <w:sz w:val="24"/>
          <w:szCs w:val="24"/>
        </w:rPr>
        <w:t>supply .</w:t>
      </w:r>
      <w:proofErr w:type="gramEnd"/>
      <w:r w:rsidRPr="00D30186">
        <w:rPr>
          <w:rFonts w:ascii="Times New Roman" w:eastAsia="Times New Roman" w:hAnsi="Times New Roman" w:cs="Times New Roman"/>
          <w:sz w:val="24"/>
          <w:szCs w:val="24"/>
        </w:rPr>
        <w:t xml:space="preserve"> The elasticity of the market will depend upon the pricing strategies and capitalizing on the market share. With the shift in demand and supply in the industry, the market equilibrium could differ and prompt for a shift in strategies. Greater production reduces the cost of production and firms could opt to reduce their price to reflect their production. Consequentially, other firms would match the drop in prices to avoid losing the market share leading to inelastic demand</w:t>
      </w:r>
      <w:r w:rsidR="00D30186" w:rsidRPr="00D30186">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3286124"/>
          <w:citation/>
        </w:sdtPr>
        <w:sdtContent>
          <w:r w:rsidR="00D30186" w:rsidRPr="00D30186">
            <w:rPr>
              <w:rFonts w:ascii="Times New Roman" w:eastAsia="Times New Roman" w:hAnsi="Times New Roman" w:cs="Times New Roman"/>
              <w:sz w:val="24"/>
              <w:szCs w:val="24"/>
            </w:rPr>
            <w:fldChar w:fldCharType="begin"/>
          </w:r>
          <w:r w:rsidR="00D30186" w:rsidRPr="00D30186">
            <w:rPr>
              <w:rFonts w:ascii="Times New Roman" w:eastAsia="Times New Roman" w:hAnsi="Times New Roman" w:cs="Times New Roman"/>
              <w:sz w:val="24"/>
              <w:szCs w:val="24"/>
            </w:rPr>
            <w:instrText xml:space="preserve"> CITATION Ama192 \l 1033 </w:instrText>
          </w:r>
          <w:r w:rsidR="00D30186" w:rsidRPr="00D30186">
            <w:rPr>
              <w:rFonts w:ascii="Times New Roman" w:eastAsia="Times New Roman" w:hAnsi="Times New Roman" w:cs="Times New Roman"/>
              <w:sz w:val="24"/>
              <w:szCs w:val="24"/>
            </w:rPr>
            <w:fldChar w:fldCharType="separate"/>
          </w:r>
          <w:r w:rsidR="00D30186" w:rsidRPr="00D30186">
            <w:rPr>
              <w:rFonts w:ascii="Times New Roman" w:eastAsia="Times New Roman" w:hAnsi="Times New Roman" w:cs="Times New Roman"/>
              <w:noProof/>
              <w:sz w:val="24"/>
              <w:szCs w:val="24"/>
            </w:rPr>
            <w:t>(Amadeo, 2019)</w:t>
          </w:r>
          <w:r w:rsidR="00D30186" w:rsidRPr="00D30186">
            <w:rPr>
              <w:rFonts w:ascii="Times New Roman" w:eastAsia="Times New Roman" w:hAnsi="Times New Roman" w:cs="Times New Roman"/>
              <w:sz w:val="24"/>
              <w:szCs w:val="24"/>
            </w:rPr>
            <w:fldChar w:fldCharType="end"/>
          </w:r>
        </w:sdtContent>
      </w:sdt>
      <w:r w:rsidRPr="00D30186">
        <w:rPr>
          <w:rFonts w:ascii="Times New Roman" w:eastAsia="Times New Roman" w:hAnsi="Times New Roman" w:cs="Times New Roman"/>
          <w:sz w:val="24"/>
          <w:szCs w:val="24"/>
        </w:rPr>
        <w:t xml:space="preserve">. Other firms could seek to capitalize on the increased demand and low supply to increase their pricing. If other firms do not follow suit, the firm could face a fall in total revenue but the demand would be relatively elastic. </w:t>
      </w:r>
      <w:r w:rsidR="00D30186" w:rsidRPr="00D30186">
        <w:rPr>
          <w:rFonts w:ascii="Times New Roman" w:hAnsi="Times New Roman" w:cs="Times New Roman"/>
          <w:sz w:val="24"/>
          <w:szCs w:val="24"/>
        </w:rPr>
        <w:br w:type="page"/>
      </w:r>
    </w:p>
    <w:sdt>
      <w:sdtPr>
        <w:rPr>
          <w:rFonts w:ascii="Times New Roman" w:hAnsi="Times New Roman" w:cs="Times New Roman"/>
          <w:color w:val="auto"/>
          <w:sz w:val="24"/>
          <w:szCs w:val="24"/>
        </w:rPr>
        <w:id w:val="3286125"/>
        <w:docPartObj>
          <w:docPartGallery w:val="Bibliographies"/>
          <w:docPartUnique/>
        </w:docPartObj>
      </w:sdtPr>
      <w:sdtEndPr>
        <w:rPr>
          <w:rFonts w:eastAsiaTheme="minorEastAsia"/>
          <w:b w:val="0"/>
          <w:bCs w:val="0"/>
          <w:lang w:bidi="ar-SA"/>
        </w:rPr>
      </w:sdtEndPr>
      <w:sdtContent>
        <w:p w:rsidR="00D30186" w:rsidRPr="00D30186" w:rsidRDefault="00D30186" w:rsidP="00D30186">
          <w:pPr>
            <w:pStyle w:val="Heading1"/>
            <w:spacing w:line="480" w:lineRule="auto"/>
            <w:jc w:val="center"/>
            <w:rPr>
              <w:rFonts w:ascii="Times New Roman" w:hAnsi="Times New Roman" w:cs="Times New Roman"/>
              <w:color w:val="auto"/>
              <w:sz w:val="24"/>
              <w:szCs w:val="24"/>
            </w:rPr>
          </w:pPr>
          <w:r w:rsidRPr="00D30186">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Content>
            <w:p w:rsidR="00D30186" w:rsidRPr="00D30186" w:rsidRDefault="00D30186" w:rsidP="00D30186">
              <w:pPr>
                <w:pStyle w:val="Bibliography"/>
                <w:spacing w:line="480" w:lineRule="auto"/>
                <w:ind w:left="720" w:hanging="720"/>
                <w:rPr>
                  <w:rFonts w:ascii="Times New Roman" w:hAnsi="Times New Roman" w:cs="Times New Roman"/>
                  <w:noProof/>
                  <w:sz w:val="24"/>
                  <w:szCs w:val="24"/>
                </w:rPr>
              </w:pPr>
              <w:r w:rsidRPr="00D30186">
                <w:rPr>
                  <w:rFonts w:ascii="Times New Roman" w:hAnsi="Times New Roman" w:cs="Times New Roman"/>
                  <w:sz w:val="24"/>
                  <w:szCs w:val="24"/>
                </w:rPr>
                <w:fldChar w:fldCharType="begin"/>
              </w:r>
              <w:r w:rsidRPr="00D30186">
                <w:rPr>
                  <w:rFonts w:ascii="Times New Roman" w:hAnsi="Times New Roman" w:cs="Times New Roman"/>
                  <w:sz w:val="24"/>
                  <w:szCs w:val="24"/>
                </w:rPr>
                <w:instrText xml:space="preserve"> BIBLIOGRAPHY </w:instrText>
              </w:r>
              <w:r w:rsidRPr="00D30186">
                <w:rPr>
                  <w:rFonts w:ascii="Times New Roman" w:hAnsi="Times New Roman" w:cs="Times New Roman"/>
                  <w:sz w:val="24"/>
                  <w:szCs w:val="24"/>
                </w:rPr>
                <w:fldChar w:fldCharType="separate"/>
              </w:r>
              <w:r w:rsidRPr="00D30186">
                <w:rPr>
                  <w:rFonts w:ascii="Times New Roman" w:hAnsi="Times New Roman" w:cs="Times New Roman"/>
                  <w:noProof/>
                  <w:sz w:val="24"/>
                  <w:szCs w:val="24"/>
                </w:rPr>
                <w:t xml:space="preserve">Amadeo, K. (2019, December 7). </w:t>
              </w:r>
              <w:r w:rsidRPr="00D30186">
                <w:rPr>
                  <w:rFonts w:ascii="Times New Roman" w:hAnsi="Times New Roman" w:cs="Times New Roman"/>
                  <w:i/>
                  <w:iCs/>
                  <w:noProof/>
                  <w:sz w:val="24"/>
                  <w:szCs w:val="24"/>
                </w:rPr>
                <w:t>Factors of Production, the Four Types, and Who Owns Them</w:t>
              </w:r>
              <w:r w:rsidRPr="00D30186">
                <w:rPr>
                  <w:rFonts w:ascii="Times New Roman" w:hAnsi="Times New Roman" w:cs="Times New Roman"/>
                  <w:noProof/>
                  <w:sz w:val="24"/>
                  <w:szCs w:val="24"/>
                </w:rPr>
                <w:t>. Retrieved February 2020, from The Balance: https://www.thebalance.com/factors-of-production-the-4-types-and-who-owns-them-4045262</w:t>
              </w:r>
            </w:p>
            <w:p w:rsidR="00D30186" w:rsidRPr="00D30186" w:rsidRDefault="00D30186" w:rsidP="00D30186">
              <w:pPr>
                <w:pStyle w:val="Bibliography"/>
                <w:spacing w:line="480" w:lineRule="auto"/>
                <w:ind w:left="720" w:hanging="720"/>
                <w:rPr>
                  <w:rFonts w:ascii="Times New Roman" w:hAnsi="Times New Roman" w:cs="Times New Roman"/>
                  <w:noProof/>
                  <w:sz w:val="24"/>
                  <w:szCs w:val="24"/>
                </w:rPr>
              </w:pPr>
              <w:r w:rsidRPr="00D30186">
                <w:rPr>
                  <w:rFonts w:ascii="Times New Roman" w:hAnsi="Times New Roman" w:cs="Times New Roman"/>
                  <w:noProof/>
                  <w:sz w:val="24"/>
                  <w:szCs w:val="24"/>
                </w:rPr>
                <w:t xml:space="preserve">Moczarski, A. (2012, May 30). </w:t>
              </w:r>
              <w:r w:rsidRPr="00D30186">
                <w:rPr>
                  <w:rFonts w:ascii="Times New Roman" w:hAnsi="Times New Roman" w:cs="Times New Roman"/>
                  <w:i/>
                  <w:iCs/>
                  <w:noProof/>
                  <w:sz w:val="24"/>
                  <w:szCs w:val="24"/>
                </w:rPr>
                <w:t>Capitalizing on Growth Opportunities in Emerging Markets, Part I</w:t>
              </w:r>
              <w:r w:rsidRPr="00D30186">
                <w:rPr>
                  <w:rFonts w:ascii="Times New Roman" w:hAnsi="Times New Roman" w:cs="Times New Roman"/>
                  <w:noProof/>
                  <w:sz w:val="24"/>
                  <w:szCs w:val="24"/>
                </w:rPr>
                <w:t>. Retrieved February 2020, from GC Capital Ideas: https://www.gccapitalideas.com/2012/05/30/capitalizing-on-growth-opportunities-in-emerging-markets-part-i/</w:t>
              </w:r>
            </w:p>
            <w:p w:rsidR="00D30186" w:rsidRPr="00D30186" w:rsidRDefault="00D30186" w:rsidP="00D30186">
              <w:pPr>
                <w:spacing w:line="480" w:lineRule="auto"/>
                <w:ind w:left="720" w:hanging="720"/>
                <w:rPr>
                  <w:rFonts w:ascii="Times New Roman" w:hAnsi="Times New Roman" w:cs="Times New Roman"/>
                  <w:sz w:val="24"/>
                  <w:szCs w:val="24"/>
                </w:rPr>
              </w:pPr>
              <w:r w:rsidRPr="00D30186">
                <w:rPr>
                  <w:rFonts w:ascii="Times New Roman" w:hAnsi="Times New Roman" w:cs="Times New Roman"/>
                  <w:sz w:val="24"/>
                  <w:szCs w:val="24"/>
                </w:rPr>
                <w:fldChar w:fldCharType="end"/>
              </w:r>
            </w:p>
          </w:sdtContent>
        </w:sdt>
      </w:sdtContent>
    </w:sdt>
    <w:p w:rsidR="009717FE" w:rsidRPr="00D30186" w:rsidRDefault="009717FE" w:rsidP="00D30186">
      <w:pPr>
        <w:spacing w:line="480" w:lineRule="auto"/>
        <w:rPr>
          <w:rFonts w:ascii="Times New Roman" w:hAnsi="Times New Roman" w:cs="Times New Roman"/>
          <w:sz w:val="24"/>
          <w:szCs w:val="24"/>
        </w:rPr>
      </w:pPr>
    </w:p>
    <w:sectPr w:rsidR="009717FE" w:rsidRPr="00D30186" w:rsidSect="0035672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defaultTabStop w:val="720"/>
  <w:characterSpacingControl w:val="doNotCompress"/>
  <w:compat/>
  <w:rsids>
    <w:rsidRoot w:val="00DF2AE7"/>
    <w:rsid w:val="009717FE"/>
    <w:rsid w:val="00D30186"/>
    <w:rsid w:val="00DF2A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AE7"/>
    <w:rPr>
      <w:rFonts w:eastAsiaTheme="minorEastAsia"/>
    </w:rPr>
  </w:style>
  <w:style w:type="paragraph" w:styleId="Heading1">
    <w:name w:val="heading 1"/>
    <w:basedOn w:val="Normal"/>
    <w:next w:val="Normal"/>
    <w:link w:val="Heading1Char"/>
    <w:uiPriority w:val="9"/>
    <w:qFormat/>
    <w:rsid w:val="00D30186"/>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2A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2AE7"/>
    <w:rPr>
      <w:rFonts w:ascii="Tahoma" w:eastAsiaTheme="minorEastAsia" w:hAnsi="Tahoma" w:cs="Tahoma"/>
      <w:sz w:val="16"/>
      <w:szCs w:val="16"/>
    </w:rPr>
  </w:style>
  <w:style w:type="character" w:customStyle="1" w:styleId="Heading1Char">
    <w:name w:val="Heading 1 Char"/>
    <w:basedOn w:val="DefaultParagraphFont"/>
    <w:link w:val="Heading1"/>
    <w:uiPriority w:val="9"/>
    <w:rsid w:val="00D30186"/>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D3018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Moc12</b:Tag>
    <b:SourceType>InternetSite</b:SourceType>
    <b:Guid>{E48379F7-3CC8-48C8-9160-043E31C1998D}</b:Guid>
    <b:LCID>0</b:LCID>
    <b:Author>
      <b:Author>
        <b:NameList>
          <b:Person>
            <b:Last>Moczarski</b:Last>
            <b:First>Allexander</b:First>
          </b:Person>
        </b:NameList>
      </b:Author>
    </b:Author>
    <b:Title>Capitalizing on Growth Opportunities in Emerging Markets, Part I</b:Title>
    <b:InternetSiteTitle>GC Capital Ideas</b:InternetSiteTitle>
    <b:Year>2012</b:Year>
    <b:Month>May</b:Month>
    <b:Day>30</b:Day>
    <b:YearAccessed>2020</b:YearAccessed>
    <b:MonthAccessed>February</b:MonthAccessed>
    <b:URL>https://www.gccapitalideas.com/2012/05/30/capitalizing-on-growth-opportunities-in-emerging-markets-part-i/</b:URL>
    <b:RefOrder>1</b:RefOrder>
  </b:Source>
  <b:Source>
    <b:Tag>Ama192</b:Tag>
    <b:SourceType>InternetSite</b:SourceType>
    <b:Guid>{448135C5-5D17-4AF2-9B3A-7EBBC2B4B7B8}</b:Guid>
    <b:LCID>0</b:LCID>
    <b:Author>
      <b:Author>
        <b:NameList>
          <b:Person>
            <b:Last>Amadeo</b:Last>
            <b:First>Kimberley</b:First>
          </b:Person>
        </b:NameList>
      </b:Author>
    </b:Author>
    <b:Title>Factors of Production, the Four Types, and Who Owns Them</b:Title>
    <b:InternetSiteTitle>The Balance</b:InternetSiteTitle>
    <b:Year>2019</b:Year>
    <b:Month>December</b:Month>
    <b:Day>7</b:Day>
    <b:YearAccessed>2020</b:YearAccessed>
    <b:MonthAccessed>February</b:MonthAccessed>
    <b:URL>https://www.thebalance.com/factors-of-production-the-4-types-and-who-owns-them-4045262</b:URL>
    <b:RefOrder>2</b:RefOrder>
  </b:Source>
</b:Sources>
</file>

<file path=customXml/itemProps1.xml><?xml version="1.0" encoding="utf-8"?>
<ds:datastoreItem xmlns:ds="http://schemas.openxmlformats.org/officeDocument/2006/customXml" ds:itemID="{EADE8E62-ECF3-48F9-9A9A-AF0C0FDEF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386</Words>
  <Characters>2203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2020-02-02T16:01:00Z</dcterms:created>
  <dcterms:modified xsi:type="dcterms:W3CDTF">2020-02-02T16:27:00Z</dcterms:modified>
</cp:coreProperties>
</file>